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85" w:rsidRPr="000C7D43" w:rsidRDefault="00C07685" w:rsidP="00C07685">
      <w:pPr>
        <w:overflowPunct w:val="0"/>
        <w:snapToGrid w:val="0"/>
        <w:spacing w:beforeLines="50" w:before="156" w:afterLines="50" w:after="156" w:line="360" w:lineRule="auto"/>
        <w:ind w:firstLineChars="0" w:firstLine="0"/>
        <w:rPr>
          <w:rFonts w:ascii="Times New Roman" w:hAnsi="Times New Roman"/>
          <w:b/>
        </w:rPr>
      </w:pPr>
      <w:r w:rsidRPr="000C7D43">
        <w:rPr>
          <w:rFonts w:ascii="方正小标宋简体" w:eastAsia="方正小标宋简体" w:hAnsi="Times New Roman" w:hint="eastAsia"/>
          <w:b/>
        </w:rPr>
        <w:t>附件</w:t>
      </w:r>
      <w:r w:rsidRPr="000C7D43">
        <w:rPr>
          <w:rFonts w:ascii="Times New Roman" w:hAnsi="Times New Roman"/>
          <w:b/>
        </w:rPr>
        <w:t>3</w:t>
      </w:r>
    </w:p>
    <w:p w:rsidR="00C07685" w:rsidRPr="000C7D43" w:rsidRDefault="00C07685" w:rsidP="00C07685">
      <w:pPr>
        <w:overflowPunct w:val="0"/>
        <w:snapToGrid w:val="0"/>
        <w:spacing w:beforeLines="50" w:before="156" w:afterLines="50" w:after="156" w:line="360" w:lineRule="auto"/>
        <w:ind w:firstLineChars="0" w:firstLine="0"/>
        <w:jc w:val="center"/>
        <w:rPr>
          <w:rFonts w:ascii="黑体" w:eastAsia="黑体" w:hAnsi="黑体"/>
        </w:rPr>
      </w:pPr>
      <w:r w:rsidRPr="000C7D43">
        <w:rPr>
          <w:rFonts w:ascii="黑体" w:eastAsia="黑体" w:hAnsi="黑体" w:hint="eastAsia"/>
        </w:rPr>
        <w:t>无车承运试点运行监测分析报告编写指南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无车承运试点运行监测分析应围绕试点工作整体目标、主要任务和工作要求，采取实地调查、材料报送、数据互联交换等形式，加强对试点企业运营管理相关信息采集、跟踪、整理和归纳总结，重点分析试点运行情况、工作成效、模式与制度创新等方面，主要内容包括：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3"/>
        <w:jc w:val="both"/>
        <w:rPr>
          <w:rFonts w:ascii="楷体_GB2312" w:eastAsia="楷体_GB2312" w:hAnsi="Times New Roman"/>
          <w:b/>
        </w:rPr>
      </w:pPr>
      <w:r w:rsidRPr="000C7D43">
        <w:rPr>
          <w:rFonts w:ascii="楷体_GB2312" w:eastAsia="楷体_GB2312" w:hAnsi="Times New Roman" w:hint="eastAsia"/>
          <w:b/>
        </w:rPr>
        <w:t>（一）试点企业总体情况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主要分析内容及支撑数据：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——无车承运人试点企业情况，包括试点企业数量，企业类别和业务类型结构，空间地理分布、运营组织模式分布，企业经营规模、完成货运量等；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——签约注册实际承运人情况，包括签约总量（含企业和个体业户），签约企业资质情况及业务类型结构，签约合作内容、服务网络情况，与签约方信息系统互联等。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3"/>
        <w:jc w:val="both"/>
        <w:rPr>
          <w:rFonts w:ascii="楷体_GB2312" w:eastAsia="楷体_GB2312" w:hAnsi="Times New Roman"/>
          <w:b/>
        </w:rPr>
      </w:pPr>
      <w:r w:rsidRPr="000C7D43">
        <w:rPr>
          <w:rFonts w:ascii="楷体_GB2312" w:eastAsia="楷体_GB2312" w:hAnsi="Times New Roman" w:hint="eastAsia"/>
          <w:b/>
        </w:rPr>
        <w:t>（二）试点运行情况分析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/>
        </w:rPr>
        <w:t>1.</w:t>
      </w:r>
      <w:r w:rsidRPr="000C7D43">
        <w:rPr>
          <w:rFonts w:ascii="Times New Roman" w:hAnsi="Times New Roman" w:hint="eastAsia"/>
        </w:rPr>
        <w:t>运力及其运行情况分析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主要分析内容及支撑数据：</w:t>
      </w:r>
      <w:r w:rsidRPr="000C7D43">
        <w:rPr>
          <w:rFonts w:ascii="Times New Roman" w:hAnsi="Times New Roman"/>
        </w:rPr>
        <w:br/>
        <w:t xml:space="preserve">    </w:t>
      </w:r>
      <w:r w:rsidRPr="000C7D43">
        <w:rPr>
          <w:rFonts w:ascii="Times New Roman" w:hAnsi="Times New Roman" w:hint="eastAsia"/>
        </w:rPr>
        <w:t>——整合运力规模；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——运力车型分布；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——按运力注册地划分的运力区域分布；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lastRenderedPageBreak/>
        <w:t>——运力交易活跃度情况。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/>
        </w:rPr>
        <w:t>2.</w:t>
      </w:r>
      <w:r w:rsidRPr="000C7D43">
        <w:rPr>
          <w:rFonts w:ascii="Times New Roman" w:hAnsi="Times New Roman" w:hint="eastAsia"/>
        </w:rPr>
        <w:t>货物运输特点分析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主要分析内容及支撑数据：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——总交易额、承担货运量同环比变化情况；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——运输货类结构分析；</w:t>
      </w:r>
      <w:r w:rsidRPr="000C7D43">
        <w:rPr>
          <w:rFonts w:ascii="Times New Roman" w:hAnsi="Times New Roman"/>
        </w:rPr>
        <w:br/>
        <w:t xml:space="preserve">    </w:t>
      </w:r>
      <w:r w:rsidRPr="000C7D43">
        <w:rPr>
          <w:rFonts w:ascii="Times New Roman" w:hAnsi="Times New Roman" w:hint="eastAsia"/>
        </w:rPr>
        <w:t>——平均运距分析及变化情况；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——货运量跨省和省内起讫点（</w:t>
      </w:r>
      <w:r w:rsidRPr="000C7D43">
        <w:rPr>
          <w:rFonts w:ascii="Times New Roman" w:hAnsi="Times New Roman"/>
        </w:rPr>
        <w:t>OD</w:t>
      </w:r>
      <w:r w:rsidRPr="000C7D43">
        <w:rPr>
          <w:rFonts w:ascii="Times New Roman" w:hAnsi="Times New Roman" w:hint="eastAsia"/>
        </w:rPr>
        <w:t>）分析；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——分省（市、区）交易活跃度（主要业务为省内范围的，可分析省内各地市间交易活跃度）。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3"/>
        <w:jc w:val="both"/>
        <w:rPr>
          <w:rFonts w:ascii="Times New Roman" w:hAnsi="Times New Roman"/>
          <w:b/>
        </w:rPr>
      </w:pPr>
      <w:r w:rsidRPr="000C7D43">
        <w:rPr>
          <w:rFonts w:ascii="Times New Roman" w:hAnsi="Times New Roman" w:hint="eastAsia"/>
          <w:b/>
        </w:rPr>
        <w:t>（三）试点工作成效分析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主要分析内容及支撑数据：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——推动物流降本增效：重点分析与试点企业</w:t>
      </w:r>
      <w:r>
        <w:rPr>
          <w:rFonts w:ascii="Times New Roman" w:hAnsi="Times New Roman" w:hint="eastAsia"/>
        </w:rPr>
        <w:t>签订</w:t>
      </w:r>
      <w:r w:rsidRPr="000C7D43">
        <w:rPr>
          <w:rFonts w:ascii="Times New Roman" w:hAnsi="Times New Roman" w:hint="eastAsia"/>
        </w:rPr>
        <w:t>全日制、长时间合作协议的运输车辆单车月平均完成运输量、周转量、平均等货时间、里程利用率、平均运价等指标，与全行业平均水平进行对比，分析试点工作对提升组织效率、降低物流成本、促进节能减排（减少车辆空驶而降低的能源消耗和污染排放）的影响。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/>
        </w:rPr>
        <w:t>——</w:t>
      </w:r>
      <w:r w:rsidRPr="000C7D43">
        <w:rPr>
          <w:rFonts w:ascii="Times New Roman" w:hAnsi="Times New Roman" w:hint="eastAsia"/>
        </w:rPr>
        <w:t>创新运输组织模式：分析企业在采用甩挂运输、多式联运等先进运输组织方式，采用集装箱和托盘等模块化运输，以及采用定位跟踪、电子运单、网络结算、大数据分析等现代信息技术手段带来的效率提升、成本降低和节能减排。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——促进物流资源整合：围绕平台完成的交易量、交易额、</w:t>
      </w:r>
      <w:r w:rsidRPr="000C7D43">
        <w:rPr>
          <w:rFonts w:ascii="Times New Roman" w:hAnsi="Times New Roman" w:hint="eastAsia"/>
        </w:rPr>
        <w:lastRenderedPageBreak/>
        <w:t>整合货车资源占全社会总量的比例等指标，分析物流资源整合成效。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——规范市场主体行为：分析汇总平台对实际承运人的考核评价、信用监督、质量管控、保险理赔等方面的技术和管理创新。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——提升物流服务水平：分析汇总平台在提供供应链管理、优化客户管理流程、提高仓、运、配一体化水平、拓展跨区域渠道网络、提供物流增值服务等方面的创新，以及实际的效果。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3"/>
        <w:jc w:val="both"/>
        <w:rPr>
          <w:rFonts w:ascii="楷体_GB2312" w:eastAsia="楷体_GB2312" w:hAnsi="Times New Roman"/>
          <w:b/>
        </w:rPr>
      </w:pPr>
      <w:r w:rsidRPr="000C7D43">
        <w:rPr>
          <w:rFonts w:ascii="楷体_GB2312" w:eastAsia="楷体_GB2312" w:hAnsi="Times New Roman" w:hint="eastAsia"/>
          <w:b/>
        </w:rPr>
        <w:t>（四）管理制度创新情况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无车承运人税收政策落实情况。各地落实和创新无车承运人税收政策，协调解决增值税开票资格、进项抵扣、额度监管等实际问题，规范企业纳税行为，建立健全交通运输和税务部门间业务联动、政策协同等方面的相关做法。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——探索创新管理制度情况。总结各地在探索无车承运人市场准入和退出、运营管理等相关制度，以及完善企业经营服务标准规范等方面的创新。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——完善配套支持政策情况。梳理各地在鼓励试点企业创新发展、转型升级等方面制定出台的简化审批流程、改进公共服务、加大人才培养、减免通行费等配套支持政策和举措。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3"/>
        <w:jc w:val="both"/>
        <w:rPr>
          <w:rFonts w:ascii="楷体_GB2312" w:eastAsia="楷体_GB2312" w:hAnsi="Times New Roman"/>
          <w:b/>
        </w:rPr>
      </w:pPr>
      <w:r w:rsidRPr="000C7D43">
        <w:rPr>
          <w:rFonts w:ascii="楷体_GB2312" w:eastAsia="楷体_GB2312" w:hAnsi="Times New Roman" w:hint="eastAsia"/>
          <w:b/>
        </w:rPr>
        <w:t>（五）运行监测异常发生及处理情况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结合运行监测平台预警信息，通报试点企业异常运行单证发生情况，交通运输主管部门对异常单证的调查、分析和反馈</w:t>
      </w:r>
      <w:r w:rsidRPr="000C7D43">
        <w:rPr>
          <w:rFonts w:ascii="Times New Roman" w:hAnsi="Times New Roman" w:hint="eastAsia"/>
        </w:rPr>
        <w:lastRenderedPageBreak/>
        <w:t>情况，提出的整改措施要求及试点企业整改落实情况，研究分析试点运行中存在的主要问题和原因。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3"/>
        <w:jc w:val="both"/>
        <w:rPr>
          <w:rFonts w:ascii="楷体_GB2312" w:eastAsia="楷体_GB2312" w:hAnsi="Times New Roman"/>
          <w:b/>
        </w:rPr>
      </w:pPr>
      <w:r w:rsidRPr="000C7D43">
        <w:rPr>
          <w:rFonts w:ascii="楷体_GB2312" w:eastAsia="楷体_GB2312" w:hAnsi="Times New Roman" w:hint="eastAsia"/>
          <w:b/>
        </w:rPr>
        <w:t>（六）下一步工作建议</w:t>
      </w:r>
    </w:p>
    <w:p w:rsidR="00C07685" w:rsidRPr="000C7D43" w:rsidRDefault="00C07685" w:rsidP="00C07685">
      <w:pPr>
        <w:overflowPunct w:val="0"/>
        <w:snapToGrid w:val="0"/>
        <w:spacing w:line="360" w:lineRule="auto"/>
        <w:ind w:firstLine="640"/>
        <w:jc w:val="both"/>
        <w:rPr>
          <w:rFonts w:ascii="Times New Roman" w:hAnsi="Times New Roman"/>
        </w:rPr>
      </w:pPr>
      <w:r w:rsidRPr="000C7D43">
        <w:rPr>
          <w:rFonts w:ascii="Times New Roman" w:hAnsi="Times New Roman" w:hint="eastAsia"/>
        </w:rPr>
        <w:t>结合本地区工作实际和试点企业合理诉求，从市场需求、政策环境、管理制度等角度分析试点运行过程中存在的问题，提出下一阶段推进和完善试点工作的相关建议。</w:t>
      </w:r>
    </w:p>
    <w:p w:rsidR="00C07685" w:rsidRPr="00DF6621" w:rsidRDefault="00C07685" w:rsidP="00C07685">
      <w:pPr>
        <w:overflowPunct w:val="0"/>
        <w:snapToGrid w:val="0"/>
        <w:spacing w:beforeLines="50" w:before="156" w:afterLines="50" w:after="156" w:line="360" w:lineRule="auto"/>
        <w:ind w:firstLineChars="0" w:firstLine="0"/>
        <w:rPr>
          <w:rFonts w:ascii="Times New Roman" w:hAnsi="Times New Roman"/>
        </w:rPr>
      </w:pPr>
    </w:p>
    <w:p w:rsidR="00C422A1" w:rsidRPr="00C07685" w:rsidRDefault="00C422A1" w:rsidP="00C07685">
      <w:pPr>
        <w:ind w:firstLine="640"/>
      </w:pPr>
      <w:bookmarkStart w:id="0" w:name="_GoBack"/>
      <w:bookmarkEnd w:id="0"/>
    </w:p>
    <w:sectPr w:rsidR="00C422A1" w:rsidRPr="00C07685" w:rsidSect="005D7CB1">
      <w:pgSz w:w="11906" w:h="16838"/>
      <w:pgMar w:top="1418" w:right="1418" w:bottom="1418" w:left="1701" w:header="992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5"/>
    <w:rsid w:val="00C07685"/>
    <w:rsid w:val="00C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85"/>
    <w:pPr>
      <w:widowControl w:val="0"/>
      <w:ind w:firstLineChars="200" w:firstLine="200"/>
    </w:pPr>
    <w:rPr>
      <w:rFonts w:eastAsia="仿宋_GB231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85"/>
    <w:pPr>
      <w:widowControl w:val="0"/>
      <w:ind w:firstLineChars="200" w:firstLine="200"/>
    </w:pPr>
    <w:rPr>
      <w:rFonts w:eastAsia="仿宋_GB231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DN</cp:lastModifiedBy>
  <cp:revision>1</cp:revision>
  <dcterms:created xsi:type="dcterms:W3CDTF">2017-03-06T08:32:00Z</dcterms:created>
  <dcterms:modified xsi:type="dcterms:W3CDTF">2017-03-06T08:32:00Z</dcterms:modified>
</cp:coreProperties>
</file>